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jpg" ContentType="image/jpeg"/>
  <Override PartName="/word/media/rId50.jpg" ContentType="image/jpeg"/>
  <Override PartName="/word/media/rId54.jpg" ContentType="image/jpeg"/>
  <Override PartName="/word/media/rId51.png" ContentType="image/png"/>
  <Override PartName="/word/media/rId52.jpg" ContentType="image/jpeg"/>
  <Override PartName="/word/media/rId55.jpg" ContentType="image/jpeg"/>
  <Override PartName="/word/media/rId57.jpg" ContentType="image/jpeg"/>
  <Override PartName="/word/media/rId56.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Sun May 5 09:30:01 2019 -0700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be difficult</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as potential approaches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 Other approaches may include site-specific criteria or alternative thresholds with implementation clarifications (e.g.,</w:t>
      </w:r>
      <w:r>
        <w:t xml:space="preserve"> </w:t>
      </w:r>
      <w:r>
        <w:t xml:space="preserve">Board (</w:t>
      </w:r>
      <w:hyperlink w:anchor="ref-SDWB16">
        <w:r>
          <w:rPr>
            <w:rStyle w:val="Hyperlink"/>
          </w:rPr>
          <w:t xml:space="preserve">2016</w:t>
        </w:r>
      </w:hyperlink>
      <w:r>
        <w:t xml:space="preserve">)</w:t>
      </w:r>
      <w:r>
        <w:t xml:space="preserve">).</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consequences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much more challenging to manage due to larger spatial scale and associated costs.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3</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Xc8e7e3ad3fc73642abbdb0340dc7cddf5a6169b"/>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landscape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4</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5</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5</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6</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biological expectations consistent with the strong land use gradient in the watershed (Figure</w:t>
      </w:r>
      <w:r>
        <w:t xml:space="preserve"> </w:t>
      </w:r>
      <w:r>
        <w:t xml:space="preserve">7</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7</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3" w:name="Xe65937d920d3935f042ae9f74ac38da74684e27"/>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w:t>
      </w:r>
      <w:r>
        <w:t xml:space="preserve"> </w:t>
      </w:r>
      <w:r>
        <w:t xml:space="preserve">7</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9</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Ideally, context for evaluating biological condition from a landscape model, in conjunction with reach-specific data on channel modification, should be used.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require long-term extensive mitigation planning, whereas stressors associated with deviations from model predictions can be mitigated in the short-term using focused actions.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1"/>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475488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5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4"/>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5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5"/>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6"/>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7"/>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8"/>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9" w:name="tables"/>
      <w:r>
        <w:t xml:space="preserve">Tables</w:t>
      </w:r>
      <w:bookmarkEnd w:id="59"/>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5</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5)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5</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5</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60" w:name="references"/>
      <w:r>
        <w:t xml:space="preserve">References</w:t>
      </w:r>
      <w:bookmarkEnd w:id="60"/>
    </w:p>
    <w:bookmarkStart w:id="192" w:name="refs"/>
    <w:bookmarkStart w:id="62"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61">
        <w:r>
          <w:rPr>
            <w:rStyle w:val="Hyperlink"/>
          </w:rPr>
          <w:t xml:space="preserve">https://doi.org/10.1046/j.1365-2427.1997.d01-546.x</w:t>
        </w:r>
      </w:hyperlink>
      <w:r>
        <w:t xml:space="preserve">.</w:t>
      </w:r>
    </w:p>
    <w:bookmarkEnd w:id="62"/>
    <w:bookmarkStart w:id="64"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63">
        <w:r>
          <w:rPr>
            <w:rStyle w:val="Hyperlink"/>
          </w:rPr>
          <w:t xml:space="preserve">https://doi.org/10.1111/j.1365-2427.2006.01685.x</w:t>
        </w:r>
      </w:hyperlink>
      <w:r>
        <w:t xml:space="preserve">.</w:t>
      </w:r>
    </w:p>
    <w:bookmarkEnd w:id="64"/>
    <w:bookmarkStart w:id="65" w:name="ref-Beck18d"/>
    <w:p>
      <w:pPr>
        <w:pStyle w:val="Bibliography"/>
      </w:pPr>
      <w:r>
        <w:t xml:space="preserve">Beck, M. W. 2018a. “Constrained streams for biological integrity in California. Knowledge Network for Biocomplexity. urn:uuid:75411f50-32ed-42a5-bbfd-26833c7a441f.”</w:t>
      </w:r>
    </w:p>
    <w:bookmarkEnd w:id="65"/>
    <w:bookmarkStart w:id="67" w:name="ref-Beck18c"/>
    <w:p>
      <w:pPr>
        <w:pStyle w:val="Bibliography"/>
      </w:pPr>
      <w:r>
        <w:t xml:space="preserve">———. 2018b. “SCCWRP/SCAPE: v1.0 (Version 1.0). Zenodo,</w:t>
      </w:r>
      <w:r>
        <w:t xml:space="preserve"> </w:t>
      </w:r>
      <w:hyperlink r:id="rId66">
        <w:r>
          <w:rPr>
            <w:rStyle w:val="Hyperlink"/>
          </w:rPr>
          <w:t xml:space="preserve">http://doi.org/10.5281/zenodo.1218121</w:t>
        </w:r>
      </w:hyperlink>
      <w:r>
        <w:t xml:space="preserve">.”</w:t>
      </w:r>
    </w:p>
    <w:bookmarkEnd w:id="67"/>
    <w:bookmarkStart w:id="69"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8">
        <w:r>
          <w:rPr>
            <w:rStyle w:val="Hyperlink"/>
          </w:rPr>
          <w:t xml:space="preserve">https://doi.org/10.1577/M06-174.1</w:t>
        </w:r>
      </w:hyperlink>
      <w:r>
        <w:t xml:space="preserve">.</w:t>
      </w:r>
    </w:p>
    <w:bookmarkEnd w:id="69"/>
    <w:bookmarkStart w:id="71"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70">
        <w:r>
          <w:rPr>
            <w:rStyle w:val="Hyperlink"/>
          </w:rPr>
          <w:t xml:space="preserve">https://doi.org/10.1111/j.1526-100X.2007.00244.x</w:t>
        </w:r>
      </w:hyperlink>
      <w:r>
        <w:t xml:space="preserve">.</w:t>
      </w:r>
    </w:p>
    <w:bookmarkEnd w:id="71"/>
    <w:bookmarkStart w:id="73"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2">
        <w:r>
          <w:rPr>
            <w:rStyle w:val="Hyperlink"/>
          </w:rPr>
          <w:t xml:space="preserve">https://www.waterboards.ca.gov/sandiego/water_issues/programs/303d_list/docs/Staff_Report_101216.pdf</w:t>
        </w:r>
      </w:hyperlink>
      <w:r>
        <w:t xml:space="preserve">.</w:t>
      </w:r>
    </w:p>
    <w:bookmarkEnd w:id="73"/>
    <w:bookmarkStart w:id="74"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4"/>
    <w:bookmarkStart w:id="76"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5">
        <w:r>
          <w:rPr>
            <w:rStyle w:val="Hyperlink"/>
          </w:rPr>
          <w:t xml:space="preserve">https://doi.org/10.1177/0739456X03022004007</w:t>
        </w:r>
      </w:hyperlink>
      <w:r>
        <w:t xml:space="preserve">.</w:t>
      </w:r>
    </w:p>
    <w:bookmarkEnd w:id="76"/>
    <w:bookmarkStart w:id="78"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7">
        <w:r>
          <w:rPr>
            <w:rStyle w:val="Hyperlink"/>
          </w:rPr>
          <w:t xml:space="preserve">https://doi.org/10.1899/08-153.1</w:t>
        </w:r>
      </w:hyperlink>
      <w:r>
        <w:t xml:space="preserve">.</w:t>
      </w:r>
    </w:p>
    <w:bookmarkEnd w:id="78"/>
    <w:bookmarkStart w:id="80"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9">
        <w:r>
          <w:rPr>
            <w:rStyle w:val="Hyperlink"/>
          </w:rPr>
          <w:t xml:space="preserve">https://doi.org/10.1016/j.landurbplan.2012.07.009</w:t>
        </w:r>
      </w:hyperlink>
      <w:r>
        <w:t xml:space="preserve">.</w:t>
      </w:r>
    </w:p>
    <w:bookmarkEnd w:id="80"/>
    <w:bookmarkStart w:id="82"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81">
        <w:r>
          <w:rPr>
            <w:rStyle w:val="Hyperlink"/>
          </w:rPr>
          <w:t xml:space="preserve">https://doi.org/10.1007/s10661-014-4132-8</w:t>
        </w:r>
      </w:hyperlink>
      <w:r>
        <w:t xml:space="preserve">.</w:t>
      </w:r>
    </w:p>
    <w:bookmarkEnd w:id="82"/>
    <w:bookmarkStart w:id="83"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83"/>
    <w:bookmarkStart w:id="85"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4">
        <w:r>
          <w:rPr>
            <w:rStyle w:val="Hyperlink"/>
          </w:rPr>
          <w:t xml:space="preserve">https://doi.org/10.1899/06-078.1</w:t>
        </w:r>
      </w:hyperlink>
      <w:r>
        <w:t xml:space="preserve">.</w:t>
      </w:r>
    </w:p>
    <w:bookmarkEnd w:id="85"/>
    <w:bookmarkStart w:id="87"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6">
        <w:r>
          <w:rPr>
            <w:rStyle w:val="Hyperlink"/>
          </w:rPr>
          <w:t xml:space="preserve">https://doi.org/10.1111/j.1526-100X.2007.00285.x</w:t>
        </w:r>
      </w:hyperlink>
      <w:r>
        <w:t xml:space="preserve">.</w:t>
      </w:r>
    </w:p>
    <w:bookmarkEnd w:id="87"/>
    <w:bookmarkStart w:id="89"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8">
        <w:r>
          <w:rPr>
            <w:rStyle w:val="Hyperlink"/>
          </w:rPr>
          <w:t xml:space="preserve">https://doi.org/10.1007/s10661-008-0256-z</w:t>
        </w:r>
      </w:hyperlink>
      <w:r>
        <w:t xml:space="preserve">.</w:t>
      </w:r>
    </w:p>
    <w:bookmarkEnd w:id="89"/>
    <w:bookmarkStart w:id="91"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90">
        <w:r>
          <w:rPr>
            <w:rStyle w:val="Hyperlink"/>
          </w:rPr>
          <w:t xml:space="preserve">https://doi.org/10.1016/j.ecolind.2013.07.006</w:t>
        </w:r>
      </w:hyperlink>
      <w:r>
        <w:t xml:space="preserve">.</w:t>
      </w:r>
    </w:p>
    <w:bookmarkEnd w:id="91"/>
    <w:bookmarkStart w:id="93"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92">
        <w:r>
          <w:rPr>
            <w:rStyle w:val="Hyperlink"/>
          </w:rPr>
          <w:t xml:space="preserve">https://doi.org/10.1086/678701</w:t>
        </w:r>
      </w:hyperlink>
      <w:r>
        <w:t xml:space="preserve">.</w:t>
      </w:r>
    </w:p>
    <w:bookmarkEnd w:id="93"/>
    <w:bookmarkStart w:id="95"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4">
        <w:r>
          <w:rPr>
            <w:rStyle w:val="Hyperlink"/>
          </w:rPr>
          <w:t xml:space="preserve">https://doi.org/10.1002/rra.1053</w:t>
        </w:r>
      </w:hyperlink>
      <w:r>
        <w:t xml:space="preserve">.</w:t>
      </w:r>
    </w:p>
    <w:bookmarkEnd w:id="95"/>
    <w:bookmarkStart w:id="97"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6">
        <w:r>
          <w:rPr>
            <w:rStyle w:val="Hyperlink"/>
          </w:rPr>
          <w:t xml:space="preserve">https://doi.org/10.1899/0887-3593(2004)023%3C0599:BWRSUO%3E2.0.CO;2</w:t>
        </w:r>
      </w:hyperlink>
      <w:r>
        <w:t xml:space="preserve">.</w:t>
      </w:r>
    </w:p>
    <w:bookmarkEnd w:id="97"/>
    <w:bookmarkStart w:id="9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8">
        <w:r>
          <w:rPr>
            <w:rStyle w:val="Hyperlink"/>
          </w:rPr>
          <w:t xml:space="preserve">https://doi.org/10.1111/j.1365-2427.2011.02696.x</w:t>
        </w:r>
      </w:hyperlink>
      <w:r>
        <w:t xml:space="preserve">.</w:t>
      </w:r>
    </w:p>
    <w:bookmarkEnd w:id="99"/>
    <w:bookmarkStart w:id="101" w:name="ref-Cuffney11"/>
    <w:p>
      <w:pPr>
        <w:pStyle w:val="Bibliography"/>
      </w:pPr>
      <w:r>
        <w:t xml:space="preserve">Cuffney, T. F., S. S. Qian, R. A. Brightbill, J. T. May, and I. R. Waite. 2011. “Response to King and Baker: Limitations on Threshold Detection and Characterization of Community Thresholds.”</w:t>
      </w:r>
      <w:r>
        <w:t xml:space="preserve"> </w:t>
      </w:r>
      <w:r>
        <w:rPr>
          <w:i/>
        </w:rPr>
        <w:t xml:space="preserve">Ecological Applications</w:t>
      </w:r>
      <w:r>
        <w:t xml:space="preserve"> </w:t>
      </w:r>
      <w:r>
        <w:t xml:space="preserve">21 (7): 2840–5.</w:t>
      </w:r>
      <w:r>
        <w:t xml:space="preserve"> </w:t>
      </w:r>
      <w:hyperlink r:id="rId100">
        <w:r>
          <w:rPr>
            <w:rStyle w:val="Hyperlink"/>
          </w:rPr>
          <w:t xml:space="preserve">https://doi.org/10.2307/41416699</w:t>
        </w:r>
      </w:hyperlink>
      <w:r>
        <w:t xml:space="preserve">.</w:t>
      </w:r>
    </w:p>
    <w:bookmarkEnd w:id="101"/>
    <w:bookmarkStart w:id="102"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102"/>
    <w:bookmarkStart w:id="104"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103">
        <w:r>
          <w:rPr>
            <w:rStyle w:val="Hyperlink"/>
          </w:rPr>
          <w:t xml:space="preserve">https://doi.org/10.1038/sdata.2015.73</w:t>
        </w:r>
      </w:hyperlink>
      <w:r>
        <w:t xml:space="preserve">.</w:t>
      </w:r>
    </w:p>
    <w:bookmarkEnd w:id="104"/>
    <w:bookmarkStart w:id="105" w:name="ref-ESRI16"/>
    <w:p>
      <w:pPr>
        <w:pStyle w:val="Bibliography"/>
      </w:pPr>
      <w:r>
        <w:t xml:space="preserve">ESRI (Environmental Systems Research Institute). 2016. “ArcGIS v10.5.”</w:t>
      </w:r>
    </w:p>
    <w:bookmarkEnd w:id="105"/>
    <w:bookmarkStart w:id="107"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6">
        <w:r>
          <w:rPr>
            <w:rStyle w:val="Hyperlink"/>
          </w:rPr>
          <w:t xml:space="preserve">https://doi.org/10.1111/j.1752-1688.2000.tb05717.x</w:t>
        </w:r>
      </w:hyperlink>
      <w:r>
        <w:t xml:space="preserve">.</w:t>
      </w:r>
    </w:p>
    <w:bookmarkEnd w:id="107"/>
    <w:bookmarkStart w:id="108"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8"/>
    <w:bookmarkStart w:id="110"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9">
        <w:r>
          <w:rPr>
            <w:rStyle w:val="Hyperlink"/>
          </w:rPr>
          <w:t xml:space="preserve">https://doi.org/10.1007/s10661-017-6025-0</w:t>
        </w:r>
      </w:hyperlink>
      <w:r>
        <w:t xml:space="preserve">.</w:t>
      </w:r>
    </w:p>
    <w:bookmarkEnd w:id="110"/>
    <w:bookmarkStart w:id="111"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11"/>
    <w:bookmarkStart w:id="112"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2"/>
    <w:bookmarkStart w:id="114"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13">
        <w:r>
          <w:rPr>
            <w:rStyle w:val="Hyperlink"/>
          </w:rPr>
          <w:t xml:space="preserve">https://doi.org/10.1002/eap.1617</w:t>
        </w:r>
      </w:hyperlink>
      <w:r>
        <w:t xml:space="preserve">.</w:t>
      </w:r>
    </w:p>
    <w:bookmarkEnd w:id="114"/>
    <w:bookmarkStart w:id="11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115">
        <w:r>
          <w:rPr>
            <w:rStyle w:val="Hyperlink"/>
          </w:rPr>
          <w:t xml:space="preserve">https://doi.org/10.1111/1752-1688.12372</w:t>
        </w:r>
      </w:hyperlink>
      <w:r>
        <w:t xml:space="preserve">.</w:t>
      </w:r>
    </w:p>
    <w:bookmarkEnd w:id="116"/>
    <w:bookmarkStart w:id="118"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7">
        <w:r>
          <w:rPr>
            <w:rStyle w:val="Hyperlink"/>
          </w:rPr>
          <w:t xml:space="preserve">https://doi.org/10.1086/697996</w:t>
        </w:r>
      </w:hyperlink>
      <w:r>
        <w:t xml:space="preserve">.</w:t>
      </w:r>
    </w:p>
    <w:bookmarkEnd w:id="118"/>
    <w:bookmarkStart w:id="120"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9">
        <w:r>
          <w:rPr>
            <w:rStyle w:val="Hyperlink"/>
          </w:rPr>
          <w:t xml:space="preserve">https://doi.org/10.1080/03680770.1974.11896033</w:t>
        </w:r>
      </w:hyperlink>
      <w:r>
        <w:t xml:space="preserve">.</w:t>
      </w:r>
    </w:p>
    <w:bookmarkEnd w:id="120"/>
    <w:bookmarkStart w:id="122"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21">
        <w:r>
          <w:rPr>
            <w:rStyle w:val="Hyperlink"/>
          </w:rPr>
          <w:t xml:space="preserve">https://doi.org/10.1046/j.1365-2427.1997.d01-539.x</w:t>
        </w:r>
      </w:hyperlink>
      <w:r>
        <w:t xml:space="preserve">.</w:t>
      </w:r>
    </w:p>
    <w:bookmarkEnd w:id="122"/>
    <w:bookmarkStart w:id="123"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3"/>
    <w:bookmarkStart w:id="12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4">
        <w:r>
          <w:rPr>
            <w:rStyle w:val="Hyperlink"/>
          </w:rPr>
          <w:t xml:space="preserve">https://doi.org/10.1111/j.1752-1688.2011.00635.x</w:t>
        </w:r>
      </w:hyperlink>
      <w:r>
        <w:t xml:space="preserve">.</w:t>
      </w:r>
    </w:p>
    <w:bookmarkEnd w:id="125"/>
    <w:bookmarkStart w:id="126"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6"/>
    <w:bookmarkStart w:id="12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7">
        <w:r>
          <w:rPr>
            <w:rStyle w:val="Hyperlink"/>
          </w:rPr>
          <w:t xml:space="preserve">https://doi.org/10.1007%2Fs00267-008-9151-1</w:t>
        </w:r>
      </w:hyperlink>
      <w:r>
        <w:t xml:space="preserve">.</w:t>
      </w:r>
    </w:p>
    <w:bookmarkEnd w:id="128"/>
    <w:bookmarkStart w:id="13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9">
        <w:r>
          <w:rPr>
            <w:rStyle w:val="Hyperlink"/>
          </w:rPr>
          <w:t xml:space="preserve">https://doi.org/10.3368/er.34.2.124</w:t>
        </w:r>
      </w:hyperlink>
      <w:r>
        <w:t xml:space="preserve">.</w:t>
      </w:r>
    </w:p>
    <w:bookmarkEnd w:id="130"/>
    <w:bookmarkStart w:id="131" w:name="ref-Mazor15"/>
    <w:p>
      <w:pPr>
        <w:pStyle w:val="Bibliography"/>
      </w:pPr>
      <w:r>
        <w:t xml:space="preserve">Mazor, R. D. 2015. “Bioassessment of Perennial Streams in Southern California: A Report on the First Five Years of the Stormwater Monitoring Coalition’s Regional Stream Survey.” 844. Costa Mesa, California: Southern California Coastal Water Research Project.</w:t>
      </w:r>
    </w:p>
    <w:bookmarkEnd w:id="131"/>
    <w:bookmarkStart w:id="132" w:name="ref-Mazor18"/>
    <w:p>
      <w:pPr>
        <w:pStyle w:val="Bibliography"/>
      </w:pPr>
      <w:r>
        <w:t xml:space="preserve">Mazor, R. D., M. W. Beck, and J. Brown. 2018. “2017 Report on the SMC Regional Stream Survey.” 1029. Costa Mesa, California: Southern California Coastal Water Research Project.</w:t>
      </w:r>
    </w:p>
    <w:bookmarkEnd w:id="132"/>
    <w:bookmarkStart w:id="13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33"/>
    <w:bookmarkStart w:id="135"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4">
        <w:r>
          <w:rPr>
            <w:rStyle w:val="Hyperlink"/>
          </w:rPr>
          <w:t xml:space="preserve">https://doi.org/10.1086/675683</w:t>
        </w:r>
      </w:hyperlink>
      <w:r>
        <w:t xml:space="preserve">.</w:t>
      </w:r>
    </w:p>
    <w:bookmarkEnd w:id="135"/>
    <w:bookmarkStart w:id="136" w:name="ref-McKay12"/>
    <w:p>
      <w:pPr>
        <w:pStyle w:val="Bibliography"/>
      </w:pPr>
      <w:r>
        <w:t xml:space="preserve">McKay, L., T. Bondelid, T. Dewald, J. Johnston, R. Moore, and A. Reah. 2012. “NHDPlus Version 2: User Guide.”</w:t>
      </w:r>
    </w:p>
    <w:bookmarkEnd w:id="136"/>
    <w:bookmarkStart w:id="13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7"/>
    <w:bookmarkStart w:id="13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8">
        <w:r>
          <w:rPr>
            <w:rStyle w:val="Hyperlink"/>
          </w:rPr>
          <w:t xml:space="preserve">https://CRAN.R-project.org/package=quantregForest</w:t>
        </w:r>
      </w:hyperlink>
      <w:r>
        <w:t xml:space="preserve">.</w:t>
      </w:r>
    </w:p>
    <w:bookmarkEnd w:id="139"/>
    <w:bookmarkStart w:id="140"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40"/>
    <w:bookmarkStart w:id="141"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41"/>
    <w:bookmarkStart w:id="143"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42">
        <w:r>
          <w:rPr>
            <w:rStyle w:val="Hyperlink"/>
          </w:rPr>
          <w:t xml:space="preserve">https://doi.org/10.1111/j.1365-2427.1987.tb01027.x</w:t>
        </w:r>
      </w:hyperlink>
      <w:r>
        <w:t xml:space="preserve">.</w:t>
      </w:r>
    </w:p>
    <w:bookmarkEnd w:id="143"/>
    <w:bookmarkStart w:id="145"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4">
        <w:r>
          <w:rPr>
            <w:rStyle w:val="Hyperlink"/>
          </w:rPr>
          <w:t xml:space="preserve">https://doi.org/10.1002/aqc.1010</w:t>
        </w:r>
      </w:hyperlink>
      <w:r>
        <w:t xml:space="preserve">.</w:t>
      </w:r>
    </w:p>
    <w:bookmarkEnd w:id="145"/>
    <w:bookmarkStart w:id="147"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6">
        <w:r>
          <w:rPr>
            <w:rStyle w:val="Hyperlink"/>
          </w:rPr>
          <w:t xml:space="preserve">https://www.waterboards.ca.gov/water_issues/programs/swamp/bioassessment/docs/combined_sop_2016.pdf</w:t>
        </w:r>
      </w:hyperlink>
      <w:r>
        <w:t xml:space="preserve">.</w:t>
      </w:r>
    </w:p>
    <w:bookmarkEnd w:id="147"/>
    <w:bookmarkStart w:id="149"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Protection Agency.</w:t>
      </w:r>
      <w:r>
        <w:t xml:space="preserve"> </w:t>
      </w:r>
      <w:hyperlink r:id="rId148">
        <w:r>
          <w:rPr>
            <w:rStyle w:val="Hyperlink"/>
          </w:rPr>
          <w:t xml:space="preserve">https://www.waterboards.ca.gov/water_issues/programs/swamp/docs/reports/psa_smmry_rpt.pdf</w:t>
        </w:r>
      </w:hyperlink>
      <w:r>
        <w:t xml:space="preserve">.</w:t>
      </w:r>
    </w:p>
    <w:bookmarkEnd w:id="149"/>
    <w:bookmarkStart w:id="150"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50"/>
    <w:bookmarkStart w:id="152"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51">
        <w:r>
          <w:rPr>
            <w:rStyle w:val="Hyperlink"/>
          </w:rPr>
          <w:t xml:space="preserve">https://doi.org/10.1111/j.1752-1688.2008.00280.x</w:t>
        </w:r>
      </w:hyperlink>
      <w:r>
        <w:t xml:space="preserve">.</w:t>
      </w:r>
    </w:p>
    <w:bookmarkEnd w:id="152"/>
    <w:bookmarkStart w:id="154"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53">
        <w:r>
          <w:rPr>
            <w:rStyle w:val="Hyperlink"/>
          </w:rPr>
          <w:t xml:space="preserve">https://doi.org/10.1016/j.foreco.2008.07.041</w:t>
        </w:r>
      </w:hyperlink>
      <w:r>
        <w:t xml:space="preserve">.</w:t>
      </w:r>
    </w:p>
    <w:bookmarkEnd w:id="154"/>
    <w:bookmarkStart w:id="155" w:name="ref-RDCT18"/>
    <w:p>
      <w:pPr>
        <w:pStyle w:val="Bibliography"/>
      </w:pPr>
      <w:r>
        <w:t xml:space="preserve">RDCT (R Development Core Team). 2018. “R: A language and environment for statistical computing, v3.5.1. R Foundation for Statistical Computing, Vienna, Austria.”</w:t>
      </w:r>
    </w:p>
    <w:bookmarkEnd w:id="155"/>
    <w:bookmarkStart w:id="157"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6">
        <w:r>
          <w:rPr>
            <w:rStyle w:val="Hyperlink"/>
          </w:rPr>
          <w:t xml:space="preserve">https://doi.org/10.1016/j.biocon.2008.07.014</w:t>
        </w:r>
      </w:hyperlink>
      <w:r>
        <w:t xml:space="preserve">.</w:t>
      </w:r>
    </w:p>
    <w:bookmarkEnd w:id="157"/>
    <w:bookmarkStart w:id="159"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8">
        <w:r>
          <w:rPr>
            <w:rStyle w:val="Hyperlink"/>
          </w:rPr>
          <w:t xml:space="preserve">https://www.waterboards.ca.gov/water_issues/programs/swamp/bioassessment/docs/psa_memo_121015.pdf</w:t>
        </w:r>
      </w:hyperlink>
      <w:r>
        <w:t xml:space="preserve">.</w:t>
      </w:r>
    </w:p>
    <w:bookmarkEnd w:id="159"/>
    <w:bookmarkStart w:id="161"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60">
        <w:r>
          <w:rPr>
            <w:rStyle w:val="Hyperlink"/>
          </w:rPr>
          <w:t xml:space="preserve">https://www.waterboards.ca.gov/water_issues/programs/swamp/bioassessment/docs/physical_habitat_index_technical_memo.pdf</w:t>
        </w:r>
      </w:hyperlink>
      <w:r>
        <w:t xml:space="preserve">.</w:t>
      </w:r>
    </w:p>
    <w:bookmarkEnd w:id="161"/>
    <w:bookmarkStart w:id="16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62">
        <w:r>
          <w:rPr>
            <w:rStyle w:val="Hyperlink"/>
          </w:rPr>
          <w:t xml:space="preserve">https://doi.org/10.2307/1468175</w:t>
        </w:r>
      </w:hyperlink>
      <w:r>
        <w:t xml:space="preserve">.</w:t>
      </w:r>
    </w:p>
    <w:bookmarkEnd w:id="163"/>
    <w:bookmarkStart w:id="165" w:name="ref-Richards97"/>
    <w:p>
      <w:pPr>
        <w:pStyle w:val="Bibliography"/>
      </w:pPr>
      <w:r>
        <w:t xml:space="preserve">Richards, C., R. Haro, L. Johnson, and G. Host. 1997. “Catchment and Reach-Scale Properties as Indicators of Macroinvertebrate Species Traits.”</w:t>
      </w:r>
      <w:r>
        <w:t xml:space="preserve"> </w:t>
      </w:r>
      <w:r>
        <w:rPr>
          <w:i/>
        </w:rPr>
        <w:t xml:space="preserve">Freshwater Biology</w:t>
      </w:r>
      <w:r>
        <w:t xml:space="preserve"> </w:t>
      </w:r>
      <w:r>
        <w:t xml:space="preserve">37 (1): 219–30.</w:t>
      </w:r>
      <w:r>
        <w:t xml:space="preserve"> </w:t>
      </w:r>
      <w:hyperlink r:id="rId164">
        <w:r>
          <w:rPr>
            <w:rStyle w:val="Hyperlink"/>
          </w:rPr>
          <w:t xml:space="preserve">https://doi.org/10.1046/j.1365-2427.1997.d01-540.x</w:t>
        </w:r>
      </w:hyperlink>
      <w:r>
        <w:t xml:space="preserve">.</w:t>
      </w:r>
    </w:p>
    <w:bookmarkEnd w:id="165"/>
    <w:bookmarkStart w:id="16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6"/>
    <w:bookmarkStart w:id="16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7">
        <w:r>
          <w:rPr>
            <w:rStyle w:val="Hyperlink"/>
          </w:rPr>
          <w:t xml:space="preserve">https://doi.org/10.1111/gec3.12039</w:t>
        </w:r>
      </w:hyperlink>
      <w:r>
        <w:t xml:space="preserve">.</w:t>
      </w:r>
    </w:p>
    <w:bookmarkEnd w:id="168"/>
    <w:bookmarkStart w:id="17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9">
        <w:r>
          <w:rPr>
            <w:rStyle w:val="Hyperlink"/>
          </w:rPr>
          <w:t xml:space="preserve">https://doi.org/10.1007/s10661-010-1385-8</w:t>
        </w:r>
      </w:hyperlink>
      <w:r>
        <w:t xml:space="preserve">.</w:t>
      </w:r>
    </w:p>
    <w:bookmarkEnd w:id="170"/>
    <w:bookmarkStart w:id="171" w:name="ref-Smeets99"/>
    <w:p>
      <w:pPr>
        <w:pStyle w:val="Bibliography"/>
      </w:pPr>
      <w:r>
        <w:t xml:space="preserve">Smeets, E., and R. Weterings. 1999. “Environmental Indicators: Typology and Overview.” No. 25. Copenhagen, Denmark: European Environmental Agency.</w:t>
      </w:r>
    </w:p>
    <w:bookmarkEnd w:id="171"/>
    <w:bookmarkStart w:id="17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72">
        <w:r>
          <w:rPr>
            <w:rStyle w:val="Hyperlink"/>
          </w:rPr>
          <w:t xml:space="preserve">https://doi.org/10.1111/jawr.12035</w:t>
        </w:r>
      </w:hyperlink>
      <w:r>
        <w:t xml:space="preserve">.</w:t>
      </w:r>
    </w:p>
    <w:bookmarkEnd w:id="173"/>
    <w:bookmarkStart w:id="17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4">
        <w:r>
          <w:rPr>
            <w:rStyle w:val="Hyperlink"/>
          </w:rPr>
          <w:t xml:space="preserve">https://doi.org/10.1002/eco.1869</w:t>
        </w:r>
      </w:hyperlink>
      <w:r>
        <w:t xml:space="preserve">.</w:t>
      </w:r>
    </w:p>
    <w:bookmarkEnd w:id="175"/>
    <w:bookmarkStart w:id="17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6">
        <w:r>
          <w:rPr>
            <w:rStyle w:val="Hyperlink"/>
          </w:rPr>
          <w:t xml:space="preserve">https://doi.org/10.1890/1051-0761(2006)016[1267:SEFTEC]2.0.CO;2</w:t>
        </w:r>
      </w:hyperlink>
      <w:r>
        <w:t xml:space="preserve">.</w:t>
      </w:r>
    </w:p>
    <w:bookmarkEnd w:id="177"/>
    <w:bookmarkStart w:id="179"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8">
        <w:r>
          <w:rPr>
            <w:rStyle w:val="Hyperlink"/>
          </w:rPr>
          <w:t xml:space="preserve">https://doi.org/10.1046/j.1365-2427.1998.00272.x</w:t>
        </w:r>
      </w:hyperlink>
      <w:r>
        <w:t xml:space="preserve">.</w:t>
      </w:r>
    </w:p>
    <w:bookmarkEnd w:id="179"/>
    <w:bookmarkStart w:id="180" w:name="ref-USEPA13"/>
    <w:p>
      <w:pPr>
        <w:pStyle w:val="Bibliography"/>
      </w:pPr>
      <w:r>
        <w:t xml:space="preserve">US Environmental Protection Agency, Region 10. 2013. “Technical Support Document for EPA’s Action on the State of Oregon’s Revised Water Quality Standards for the West Division Main Canal.”</w:t>
      </w:r>
    </w:p>
    <w:bookmarkEnd w:id="180"/>
    <w:bookmarkStart w:id="181" w:name="ref-USGS99"/>
    <w:p>
      <w:pPr>
        <w:pStyle w:val="Bibliography"/>
      </w:pPr>
      <w:r>
        <w:t xml:space="preserve">USGS (US Geological Survey). 1999. “The quality of our nation’s waters: nutrients and pesticides.” Reston, Virginia.</w:t>
      </w:r>
    </w:p>
    <w:bookmarkEnd w:id="181"/>
    <w:bookmarkStart w:id="18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82">
        <w:r>
          <w:rPr>
            <w:rStyle w:val="Hyperlink"/>
          </w:rPr>
          <w:t xml:space="preserve">https://doi.org/10.1023/A:1023374524254</w:t>
        </w:r>
      </w:hyperlink>
      <w:r>
        <w:t xml:space="preserve">.</w:t>
      </w:r>
    </w:p>
    <w:bookmarkEnd w:id="183"/>
    <w:bookmarkStart w:id="185" w:name="ref-Waite13"/>
    <w:p>
      <w:pPr>
        <w:pStyle w:val="Bibliography"/>
      </w:pPr>
      <w:r>
        <w:t xml:space="preserve">Waite, I. R. 2013. “Development and Application of an Agricultural Intensity Index to Invertebrate and Algal Metrics from Streams at Two Scales.”</w:t>
      </w:r>
      <w:r>
        <w:t xml:space="preserve"> </w:t>
      </w:r>
      <w:r>
        <w:rPr>
          <w:i/>
        </w:rPr>
        <w:t xml:space="preserve">Journal of the American Water Resources Association</w:t>
      </w:r>
      <w:r>
        <w:t xml:space="preserve"> </w:t>
      </w:r>
      <w:r>
        <w:t xml:space="preserve">49 (2): 431–48.</w:t>
      </w:r>
      <w:r>
        <w:t xml:space="preserve"> </w:t>
      </w:r>
      <w:hyperlink r:id="rId184">
        <w:r>
          <w:rPr>
            <w:rStyle w:val="Hyperlink"/>
          </w:rPr>
          <w:t xml:space="preserve">https://doi.org/10.1111/jawr.12032</w:t>
        </w:r>
      </w:hyperlink>
      <w:r>
        <w:t xml:space="preserve">.</w:t>
      </w:r>
    </w:p>
    <w:bookmarkEnd w:id="185"/>
    <w:bookmarkStart w:id="18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6">
        <w:r>
          <w:rPr>
            <w:rStyle w:val="Hyperlink"/>
          </w:rPr>
          <w:t xml:space="preserve">https://doi.org/10.1371/journal.pone.0090944</w:t>
        </w:r>
      </w:hyperlink>
      <w:r>
        <w:t xml:space="preserve">.</w:t>
      </w:r>
    </w:p>
    <w:bookmarkEnd w:id="187"/>
    <w:bookmarkStart w:id="18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8">
        <w:r>
          <w:rPr>
            <w:rStyle w:val="Hyperlink"/>
          </w:rPr>
          <w:t xml:space="preserve">https://doi.org/10.1899/04-028.1</w:t>
        </w:r>
      </w:hyperlink>
      <w:r>
        <w:t xml:space="preserve">.</w:t>
      </w:r>
    </w:p>
    <w:bookmarkEnd w:id="189"/>
    <w:bookmarkStart w:id="19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90">
        <w:r>
          <w:rPr>
            <w:rStyle w:val="Hyperlink"/>
          </w:rPr>
          <w:t xml:space="preserve">https://doi.org/10.1577/1548-8446(1997)022%3C0006:IOWLUO%3E2.0.CO;2</w:t>
        </w:r>
      </w:hyperlink>
      <w:r>
        <w:t xml:space="preserve">.</w:t>
      </w:r>
    </w:p>
    <w:bookmarkEnd w:id="191"/>
    <w:bookmarkEnd w:id="19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8" Target="media/rId58.jpg"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51" Target="media/rId51.pn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53" Target="media/rId53.jpg" /><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5B1267:SEFTEC%5D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5B1267:SEFTEC%5D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2019-05-05T17:48:32Z</dcterms:created>
  <dcterms:modified xsi:type="dcterms:W3CDTF">2019-05-05T17:48:32Z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